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16202C" w:sz="18" w:space="6"/>
        </w:pBdr>
        <w:bidi/>
        <w:spacing w:after="240" w:line="260" w:lineRule="auto"/>
        <w:jc w:val="right"/>
      </w:pPr>
      <w:r>
        <w:rPr>
          <w:rFonts w:ascii="Tahoma" w:cs="Tahoma" w:eastAsia="Tahoma" w:hAnsi="Tahoma"/>
          <w:b/>
          <w:bCs/>
          <w:color w:val="B23A48"/>
          <w:sz w:val="17"/>
          <w:szCs w:val="17"/>
          <w:rtl/>
        </w:rPr>
        <w:t xml:space="preserve">گزارش تحلیلی  •  ایمنی حمل‌ونقل</w:t>
      </w:r>
    </w:p>
    <w:p>
      <w:pPr>
        <w:bidi/>
        <w:spacing w:after="0" w:before="0" w:line="320" w:lineRule="auto"/>
        <w:jc w:val="right"/>
      </w:pPr>
      <w:r>
        <w:rPr>
          <w:rFonts w:ascii="Tahoma" w:cs="Tahoma" w:eastAsia="Tahoma" w:hAnsi="Tahoma"/>
          <w:b/>
          <w:bCs/>
          <w:color w:val="16202C"/>
          <w:sz w:val="42"/>
          <w:szCs w:val="42"/>
          <w:rtl/>
        </w:rPr>
        <w:t xml:space="preserve">روند تلفات تصادفات رانندگی در ایران؛</w:t>
      </w:r>
    </w:p>
    <w:p>
      <w:pPr>
        <w:bidi/>
        <w:spacing w:after="120" w:before="0" w:line="320" w:lineRule="auto"/>
        <w:jc w:val="right"/>
      </w:pPr>
      <w:r>
        <w:rPr>
          <w:rFonts w:ascii="Tahoma" w:cs="Tahoma" w:eastAsia="Tahoma" w:hAnsi="Tahoma"/>
          <w:b/>
          <w:bCs/>
          <w:color w:val="16202C"/>
          <w:sz w:val="42"/>
          <w:szCs w:val="42"/>
          <w:rtl/>
        </w:rPr>
        <w:t xml:space="preserve">از بحران تا بازگشت تلفات</w:t>
      </w:r>
    </w:p>
    <w:p>
      <w:pPr>
        <w:bidi/>
        <w:spacing w:after="220" w:before="0" w:line="340" w:lineRule="auto"/>
        <w:jc w:val="right"/>
      </w:pPr>
      <w:r>
        <w:rPr>
          <w:rFonts w:ascii="Tahoma" w:cs="Tahoma" w:eastAsia="Tahoma" w:hAnsi="Tahoma"/>
          <w:b w:val="false"/>
          <w:color w:val="5C6B7C"/>
          <w:sz w:val="23"/>
          <w:szCs w:val="23"/>
          <w:rtl/>
        </w:rPr>
        <w:t xml:space="preserve">بررسی روند ۱۳۸۲ تا ۱۴۰۴</w:t>
      </w:r>
    </w:p>
    <w:p>
      <w:pPr>
        <w:pBdr>
          <w:top w:val="single" w:color="D9DEE5" w:sz="4" w:space="8"/>
        </w:pBdr>
        <w:bidi/>
        <w:spacing w:after="20" w:before="60" w:line="280" w:lineRule="auto"/>
        <w:jc w:val="right"/>
      </w:pPr>
      <w:r>
        <w:rPr>
          <w:rFonts w:ascii="Tahoma" w:cs="Tahoma" w:eastAsia="Tahoma" w:hAnsi="Tahoma"/>
          <w:b/>
          <w:bCs/>
          <w:color w:val="16202C"/>
          <w:sz w:val="22"/>
          <w:szCs w:val="22"/>
          <w:rtl/>
        </w:rPr>
        <w:t xml:space="preserve">فریبرز واحدی</w:t>
      </w:r>
    </w:p>
    <w:p>
      <w:pPr>
        <w:pBdr>
          <w:bottom w:val="single" w:color="D9DEE5" w:sz="4" w:space="8"/>
        </w:pBdr>
        <w:bidi/>
        <w:spacing w:after="240" w:line="280" w:lineRule="auto"/>
        <w:jc w:val="right"/>
      </w:pPr>
      <w:r>
        <w:rPr>
          <w:rFonts w:ascii="Tahoma" w:cs="Tahoma" w:eastAsia="Tahoma" w:hAnsi="Tahoma"/>
          <w:b w:val="false"/>
          <w:color w:val="6B7684"/>
          <w:sz w:val="18"/>
          <w:szCs w:val="18"/>
          <w:rtl/>
        </w:rPr>
        <w:t xml:space="preserve">مدرس دانشگاه و کارشناس ارشد راه و شهرسازی</w:t>
      </w:r>
    </w:p>
    <w:p>
      <w:pPr>
        <w:bidi/>
        <w:spacing w:after="140" w:before="0" w:line="350" w:lineRule="auto"/>
        <w:jc w:val="both"/>
      </w:pPr>
      <w:r>
        <w:rPr>
          <w:rFonts w:ascii="Tahoma" w:cs="Tahoma" w:eastAsia="Tahoma" w:hAnsi="Tahoma"/>
          <w:b w:val="false"/>
          <w:color w:val="23303F"/>
          <w:sz w:val="22"/>
          <w:szCs w:val="22"/>
          <w:rtl/>
        </w:rPr>
        <w:t xml:space="preserve">تصادفات رانندگی در ایران دیگر صرفاً یک مسئله حمل‌ونقلی یا انتظامی نیست؛ یک مسئله جدی ملی با ابعاد انسانی، اقتصادی، اجتماعی و حتی توسعه‌ای است. هر سال هزاران نفر در اثر تصادفات جان خود را از دست می‌دهند و چند صد هزار نفر نیز مصدوم می‌شوند؛ بخشی از این مصدومان با آسیب‌های جسمی و اقتصادی بلندمدت مواجه‌اند. در کنار هزینه مستقیم درمان و امداد، از دست رفتن نیروی انسانی، کاهش بهره‌وری، خسارت به خانواده‌ها و تحمیل هزینه به نظام اجتماعی و اقتصادی کشور، ابعاد واقعی این مسئله را بسیار فراتر از آمار فوتی‌ها می‌برد.</w:t>
      </w:r>
    </w:p>
    <w:p>
      <w:pPr>
        <w:bidi/>
        <w:spacing w:after="200" w:before="0" w:line="340" w:lineRule="auto"/>
        <w:jc w:val="both"/>
      </w:pPr>
      <w:r>
        <w:rPr>
          <w:rFonts w:ascii="Tahoma" w:cs="Tahoma" w:eastAsia="Tahoma" w:hAnsi="Tahoma"/>
          <w:b w:val="false"/>
          <w:color w:val="23303F"/>
          <w:sz w:val="21"/>
          <w:szCs w:val="21"/>
          <w:rtl/>
        </w:rPr>
        <w:t xml:space="preserve">اهمیت موضوع زمانی بیشتر روشن می‌شود که روند بلندمدت تلفات را بررسی کنیم. آمار نشان می‌دهد ایران در یک مقطع توانسته است تلفات حوادث رانندگی را به‌طور قابل‌توجهی کاهش دهد، اما این موفقیت در سال‌های بعد تثبیت نشد و بخشی از آن کاهش دوباره از دست رفت. بنابراین پرسش اصلی امروز فقط این نیست که «چرا تصادفات زیاد است؟»؛ پرسش مهم‌تر این است که چه عواملی در دوره کاهش تلفات مؤثر بوده، چرا آن روند متوقف شده و چگونه می‌توان دوباره یک روند پایدار کاهشی ایجاد کرد؟</w:t>
      </w:r>
    </w:p>
    <w:tbl>
      <w:tblPr>
        <w:bidiVisual/>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2950"/>
        <w:gridCol w:w="2950"/>
        <w:gridCol w:w="3170"/>
      </w:tblGrid>
      <w:tr>
        <w:tc>
          <w:tcPr>
            <w:tcW w:type="dxa" w:w="2950"/>
            <w:tcBorders>
              <w:top w:val="single" w:color="2F6F5E" w:sz="18"/>
              <w:left w:val="single" w:color="FFFFFF" w:sz="12"/>
              <w:bottom w:val="single" w:color="FFFFFF" w:sz="0"/>
              <w:right w:val="single" w:color="FFFFFF" w:sz="12"/>
            </w:tcBorders>
            <w:shd w:fill="F6F8F9" w:color="auto" w:val="clear"/>
            <w:tcMar>
              <w:top w:type="dxa" w:w="120"/>
              <w:left w:type="dxa" w:w="120"/>
              <w:bottom w:type="dxa" w:w="120"/>
              <w:right w:type="dxa" w:w="120"/>
            </w:tcMar>
          </w:tcPr>
          <w:p>
            <w:pPr>
              <w:bidi/>
              <w:spacing w:after="40" w:before="0" w:line="280" w:lineRule="auto"/>
              <w:jc w:val="center"/>
            </w:pPr>
            <w:r>
              <w:rPr>
                <w:rFonts w:ascii="Tahoma" w:cs="Tahoma" w:eastAsia="Tahoma" w:hAnsi="Tahoma"/>
                <w:b/>
                <w:bCs/>
                <w:color w:val="16202C"/>
                <w:sz w:val="28"/>
                <w:szCs w:val="28"/>
                <w:rtl/>
              </w:rPr>
              <w:t xml:space="preserve">‎−۴۰٪</w:t>
            </w:r>
          </w:p>
          <w:p>
            <w:pPr>
              <w:bidi/>
              <w:spacing w:after="0" w:before="0" w:line="260" w:lineRule="auto"/>
              <w:jc w:val="center"/>
            </w:pPr>
            <w:r>
              <w:rPr>
                <w:rFonts w:ascii="Tahoma" w:cs="Tahoma" w:eastAsia="Tahoma" w:hAnsi="Tahoma"/>
                <w:b w:val="false"/>
                <w:color w:val="6B7684"/>
                <w:sz w:val="16"/>
                <w:szCs w:val="16"/>
                <w:rtl/>
              </w:rPr>
              <w:t xml:space="preserve">کاهش تلفات در فاصله</w:t>
            </w:r>
          </w:p>
          <w:p>
            <w:pPr>
              <w:bidi/>
              <w:spacing w:after="0" w:before="0" w:line="260" w:lineRule="auto"/>
              <w:jc w:val="center"/>
            </w:pPr>
            <w:r>
              <w:rPr>
                <w:rFonts w:ascii="Tahoma" w:cs="Tahoma" w:eastAsia="Tahoma" w:hAnsi="Tahoma"/>
                <w:b w:val="false"/>
                <w:color w:val="6B7684"/>
                <w:sz w:val="16"/>
                <w:szCs w:val="16"/>
                <w:rtl/>
              </w:rPr>
              <w:t xml:space="preserve">۱۳۸۵ تا ۱۳۹۴</w:t>
            </w:r>
          </w:p>
        </w:tc>
        <w:tc>
          <w:tcPr>
            <w:tcW w:type="dxa" w:w="2950"/>
            <w:tcBorders>
              <w:top w:val="single" w:color="2F6F5E" w:sz="18"/>
              <w:left w:val="single" w:color="FFFFFF" w:sz="12"/>
              <w:bottom w:val="single" w:color="FFFFFF" w:sz="0"/>
              <w:right w:val="single" w:color="FFFFFF" w:sz="12"/>
            </w:tcBorders>
            <w:shd w:fill="F6F8F9" w:color="auto" w:val="clear"/>
            <w:tcMar>
              <w:top w:type="dxa" w:w="120"/>
              <w:left w:type="dxa" w:w="120"/>
              <w:bottom w:type="dxa" w:w="120"/>
              <w:right w:type="dxa" w:w="120"/>
            </w:tcMar>
          </w:tcPr>
          <w:p>
            <w:pPr>
              <w:bidi/>
              <w:spacing w:after="40" w:before="0" w:line="280" w:lineRule="auto"/>
              <w:jc w:val="center"/>
            </w:pPr>
            <w:r>
              <w:rPr>
                <w:rFonts w:ascii="Tahoma" w:cs="Tahoma" w:eastAsia="Tahoma" w:hAnsi="Tahoma"/>
                <w:b/>
                <w:bCs/>
                <w:color w:val="16202C"/>
                <w:sz w:val="28"/>
                <w:szCs w:val="28"/>
                <w:rtl/>
              </w:rPr>
              <w:t xml:space="preserve">۱۱٬۰۰۰ نفر</w:t>
            </w:r>
          </w:p>
          <w:p>
            <w:pPr>
              <w:bidi/>
              <w:spacing w:after="0" w:before="0" w:line="260" w:lineRule="auto"/>
              <w:jc w:val="center"/>
            </w:pPr>
            <w:r>
              <w:rPr>
                <w:rFonts w:ascii="Tahoma" w:cs="Tahoma" w:eastAsia="Tahoma" w:hAnsi="Tahoma"/>
                <w:b w:val="false"/>
                <w:color w:val="6B7684"/>
                <w:sz w:val="16"/>
                <w:szCs w:val="16"/>
                <w:rtl/>
              </w:rPr>
              <w:t xml:space="preserve">کاهش تلفات سالانه</w:t>
            </w:r>
          </w:p>
          <w:p>
            <w:pPr>
              <w:bidi/>
              <w:spacing w:after="0" w:before="0" w:line="260" w:lineRule="auto"/>
              <w:jc w:val="center"/>
            </w:pPr>
            <w:r>
              <w:rPr>
                <w:rFonts w:ascii="Tahoma" w:cs="Tahoma" w:eastAsia="Tahoma" w:hAnsi="Tahoma"/>
                <w:b w:val="false"/>
                <w:color w:val="6B7684"/>
                <w:sz w:val="16"/>
                <w:szCs w:val="16"/>
                <w:rtl/>
              </w:rPr>
              <w:t xml:space="preserve">در دوره موفق</w:t>
            </w:r>
          </w:p>
        </w:tc>
        <w:tc>
          <w:tcPr>
            <w:tcW w:type="dxa" w:w="3170"/>
            <w:tcBorders>
              <w:top w:val="single" w:color="A8611A" w:sz="18"/>
              <w:left w:val="single" w:color="FFFFFF" w:sz="12"/>
              <w:bottom w:val="single" w:color="FFFFFF" w:sz="0"/>
              <w:right w:val="single" w:color="FFFFFF" w:sz="12"/>
            </w:tcBorders>
            <w:shd w:fill="F6F8F9" w:color="auto" w:val="clear"/>
            <w:tcMar>
              <w:top w:type="dxa" w:w="120"/>
              <w:left w:type="dxa" w:w="120"/>
              <w:bottom w:type="dxa" w:w="120"/>
              <w:right w:type="dxa" w:w="120"/>
            </w:tcMar>
          </w:tcPr>
          <w:p>
            <w:pPr>
              <w:bidi/>
              <w:spacing w:after="40" w:before="0" w:line="280" w:lineRule="auto"/>
              <w:jc w:val="center"/>
            </w:pPr>
            <w:r>
              <w:rPr>
                <w:rFonts w:ascii="Tahoma" w:cs="Tahoma" w:eastAsia="Tahoma" w:hAnsi="Tahoma"/>
                <w:b/>
                <w:bCs/>
                <w:color w:val="A8611A"/>
                <w:sz w:val="28"/>
                <w:szCs w:val="28"/>
                <w:rtl/>
              </w:rPr>
              <w:t xml:space="preserve">‎+۳٬۰۰۰ نفر</w:t>
            </w:r>
          </w:p>
          <w:p>
            <w:pPr>
              <w:bidi/>
              <w:spacing w:after="0" w:before="0" w:line="260" w:lineRule="auto"/>
              <w:jc w:val="center"/>
            </w:pPr>
            <w:r>
              <w:rPr>
                <w:rFonts w:ascii="Tahoma" w:cs="Tahoma" w:eastAsia="Tahoma" w:hAnsi="Tahoma"/>
                <w:b w:val="false"/>
                <w:color w:val="6B7684"/>
                <w:sz w:val="16"/>
                <w:szCs w:val="16"/>
                <w:rtl/>
              </w:rPr>
              <w:t xml:space="preserve">افزایش تلفات سالانه</w:t>
            </w:r>
          </w:p>
          <w:p>
            <w:pPr>
              <w:bidi/>
              <w:spacing w:after="0" w:before="0" w:line="260" w:lineRule="auto"/>
              <w:jc w:val="center"/>
            </w:pPr>
            <w:r>
              <w:rPr>
                <w:rFonts w:ascii="Tahoma" w:cs="Tahoma" w:eastAsia="Tahoma" w:hAnsi="Tahoma"/>
                <w:b w:val="false"/>
                <w:color w:val="6B7684"/>
                <w:sz w:val="16"/>
                <w:szCs w:val="16"/>
                <w:rtl/>
              </w:rPr>
              <w:t xml:space="preserve">در فاصله ۱۳۹۴ تا ۱۴۰۴</w:t>
            </w:r>
          </w:p>
        </w:tc>
      </w:tr>
    </w:tbl>
    <w:p>
      <w:pPr>
        <w:spacing w:after="60"/>
      </w:pPr>
    </w:p>
    <w:p>
      <w:pPr>
        <w:pBdr>
          <w:left w:val="single" w:color="2F6F5E" w:sz="18" w:space="6"/>
        </w:pBdr>
        <w:bidi/>
        <w:spacing w:after="140" w:before="320" w:line="300" w:lineRule="auto"/>
        <w:jc w:val="right"/>
      </w:pPr>
      <w:r>
        <w:rPr>
          <w:rFonts w:ascii="Tahoma" w:cs="Tahoma" w:eastAsia="Tahoma" w:hAnsi="Tahoma"/>
          <w:b/>
          <w:bCs/>
          <w:color w:val="16202C"/>
          <w:sz w:val="26"/>
          <w:szCs w:val="26"/>
          <w:rtl/>
        </w:rPr>
        <w:t xml:space="preserve">روند تلفات؛ یک تصویر ۲۳ ساله</w:t>
      </w:r>
    </w:p>
    <w:p>
      <w:pPr>
        <w:bidi/>
        <w:spacing w:after="140" w:before="0" w:line="340" w:lineRule="auto"/>
        <w:jc w:val="both"/>
      </w:pPr>
      <w:r>
        <w:rPr>
          <w:rFonts w:ascii="Tahoma" w:cs="Tahoma" w:eastAsia="Tahoma" w:hAnsi="Tahoma"/>
          <w:b w:val="false"/>
          <w:color w:val="23303F"/>
          <w:sz w:val="21"/>
          <w:szCs w:val="21"/>
          <w:rtl/>
        </w:rPr>
        <w:t xml:space="preserve">در میانه دهه ۱۳۸۰، کشور با یکی از جدی‌ترین دوره‌های تلفات رانندگی مواجه بود. تعداد جان‌باختگان در سال‌های ۱۳۸۴ و ۱۳۸۵ به حدود ۲۷ هزار و ۵۰۰ نفر رسید.</w:t>
      </w:r>
    </w:p>
    <w:p>
      <w:pPr>
        <w:bidi/>
        <w:spacing w:after="140" w:before="0" w:line="340" w:lineRule="auto"/>
        <w:jc w:val="both"/>
      </w:pPr>
      <w:r>
        <w:rPr>
          <w:rFonts w:ascii="Tahoma" w:cs="Tahoma" w:eastAsia="Tahoma" w:hAnsi="Tahoma"/>
          <w:b w:val="false"/>
          <w:color w:val="23303F"/>
          <w:sz w:val="21"/>
          <w:szCs w:val="21"/>
          <w:rtl/>
        </w:rPr>
        <w:t xml:space="preserve">در فاصله ۱۳۸۵ تا ۱۳۹۴، تلفات حدود ۴۰ درصد کاهش یافت. این کاهش یک اتفاق مقطعی نبود و برای چندین سال ادامه پیدا کرد. بررسی‌های سازمان جهانی بهداشت، در کنار عوامل مختلف، به اجرای جدی‌تر مقررات کمربند ایمنی، استفاده از کلاه ایمنی موتورسیکلت، کنترل و قوانین ترافیکی، آموزش و فرهنگ‌سازی و همچنین ارتقای خدمات پیش‌بیمارستانی و درمانی اشاره می‌کند.</w:t>
      </w:r>
    </w:p>
    <w:p>
      <w:pPr>
        <w:bidi/>
        <w:spacing w:after="60" w:before="0" w:line="340" w:lineRule="auto"/>
        <w:jc w:val="both"/>
      </w:pPr>
      <w:r>
        <w:rPr>
          <w:rFonts w:ascii="Tahoma" w:cs="Tahoma" w:eastAsia="Tahoma" w:hAnsi="Tahoma"/>
          <w:b w:val="false"/>
          <w:color w:val="23303F"/>
          <w:sz w:val="21"/>
          <w:szCs w:val="21"/>
          <w:rtl/>
        </w:rPr>
        <w:t xml:space="preserve">اما از نیمه دوم دهه ۱۳۹۰، روند نزولی متوقف شد. در حالی که تلفات در سال ۱۳۹۴ به حدود ۱۶٬۶۰۰ نفر رسیده بود، در سال ۱۴۰۴ مجدداً به حدود ۱۹٬۵۰۰ نفر افزایش یافته است.</w:t>
      </w:r>
    </w:p>
    <w:p>
      <w:pPr>
        <w:spacing w:after="80" w:before="160"/>
        <w:jc w:val="center"/>
      </w:pPr>
      <w:r>
        <w:drawing>
          <wp:inline distT="0" distB="0" distL="0" distR="0">
            <wp:extent cx="5905500" cy="2781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05500" cy="2781300"/>
                    </a:xfrm>
                    <a:prstGeom prst="rect">
                      <a:avLst/>
                    </a:prstGeom>
                  </pic:spPr>
                </pic:pic>
              </a:graphicData>
            </a:graphic>
          </wp:inline>
        </w:drawing>
      </w:r>
    </w:p>
    <w:p>
      <w:pPr>
        <w:pBdr>
          <w:top w:val="single" w:color="E4E8EC" w:sz="4" w:space="6"/>
        </w:pBdr>
        <w:bidi/>
        <w:spacing w:after="200" w:line="260" w:lineRule="auto"/>
        <w:jc w:val="right"/>
      </w:pPr>
      <w:r>
        <w:rPr>
          <w:rFonts w:ascii="Tahoma" w:cs="Tahoma" w:eastAsia="Tahoma" w:hAnsi="Tahoma"/>
          <w:b w:val="false"/>
          <w:color w:val="7A8592"/>
          <w:sz w:val="17"/>
          <w:szCs w:val="17"/>
          <w:rtl/>
        </w:rPr>
        <w:t xml:space="preserve">شمار جان‌باختگان تصادفات رانندگی در ایران، ۱۳۸۲ تا ۱۴۰۴ (نفر در سال)</w:t>
      </w:r>
    </w:p>
    <w:tbl>
      <w:tblPr>
        <w:bidiVisual/>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1300"/>
        <w:gridCol w:w="1723"/>
        <w:gridCol w:w="1300"/>
        <w:gridCol w:w="1724"/>
        <w:gridCol w:w="1300"/>
        <w:gridCol w:w="1723"/>
      </w:tblGrid>
      <w:tr>
        <w:trPr>
          <w:tblHeader/>
        </w:trPr>
        <w:tc>
          <w:tcPr>
            <w:tcW w:type="dxa" w:w="1300"/>
            <w:tcBorders>
              <w:top w:val="none" w:color="16202C" w:sz="0"/>
              <w:left w:val="none" w:color="16202C" w:sz="0"/>
              <w:bottom w:val="none" w:color="16202C" w:sz="0"/>
              <w:right w:val="none" w:color="16202C" w:sz="0"/>
            </w:tcBorders>
            <w:shd w:fill="16202C" w:color="auto" w:val="clear"/>
            <w:tcMar>
              <w:top w:type="dxa" w:w="60"/>
              <w:left w:type="dxa" w:w="80"/>
              <w:bottom w:type="dxa" w:w="60"/>
              <w:right w:type="dxa" w:w="80"/>
            </w:tcMar>
            <w:vAlign w:val="center"/>
          </w:tcPr>
          <w:p>
            <w:pPr>
              <w:bidi/>
              <w:spacing w:after="0" w:before="0" w:line="340" w:lineRule="auto"/>
              <w:jc w:val="center"/>
            </w:pPr>
            <w:r>
              <w:rPr>
                <w:rFonts w:ascii="Tahoma" w:cs="Tahoma" w:eastAsia="Tahoma" w:hAnsi="Tahoma"/>
                <w:b/>
                <w:bCs/>
                <w:color w:val="FFFFFF"/>
                <w:sz w:val="17"/>
                <w:szCs w:val="17"/>
                <w:rtl/>
              </w:rPr>
              <w:t xml:space="preserve">سال</w:t>
            </w:r>
          </w:p>
        </w:tc>
        <w:tc>
          <w:tcPr>
            <w:tcW w:type="dxa" w:w="1723"/>
            <w:tcBorders>
              <w:top w:val="none" w:color="16202C" w:sz="0"/>
              <w:left w:val="none" w:color="16202C" w:sz="0"/>
              <w:bottom w:val="none" w:color="16202C" w:sz="0"/>
              <w:right w:val="none" w:color="16202C" w:sz="0"/>
            </w:tcBorders>
            <w:shd w:fill="16202C" w:color="auto" w:val="clear"/>
            <w:tcMar>
              <w:top w:type="dxa" w:w="60"/>
              <w:left w:type="dxa" w:w="80"/>
              <w:bottom w:type="dxa" w:w="60"/>
              <w:right w:type="dxa" w:w="80"/>
            </w:tcMar>
            <w:vAlign w:val="center"/>
          </w:tcPr>
          <w:p>
            <w:pPr>
              <w:bidi/>
              <w:spacing w:after="0" w:before="0" w:line="340" w:lineRule="auto"/>
              <w:jc w:val="center"/>
            </w:pPr>
            <w:r>
              <w:rPr>
                <w:rFonts w:ascii="Tahoma" w:cs="Tahoma" w:eastAsia="Tahoma" w:hAnsi="Tahoma"/>
                <w:b/>
                <w:bCs/>
                <w:color w:val="FFFFFF"/>
                <w:sz w:val="17"/>
                <w:szCs w:val="17"/>
                <w:rtl/>
              </w:rPr>
              <w:t xml:space="preserve">جان‌باختگان</w:t>
            </w:r>
          </w:p>
        </w:tc>
        <w:tc>
          <w:tcPr>
            <w:tcW w:type="dxa" w:w="1300"/>
            <w:tcBorders>
              <w:top w:val="none" w:color="16202C" w:sz="0"/>
              <w:left w:val="none" w:color="16202C" w:sz="0"/>
              <w:bottom w:val="none" w:color="16202C" w:sz="0"/>
              <w:right w:val="none" w:color="16202C" w:sz="0"/>
            </w:tcBorders>
            <w:shd w:fill="16202C" w:color="auto" w:val="clear"/>
            <w:tcMar>
              <w:top w:type="dxa" w:w="60"/>
              <w:left w:type="dxa" w:w="80"/>
              <w:bottom w:type="dxa" w:w="60"/>
              <w:right w:type="dxa" w:w="80"/>
            </w:tcMar>
            <w:vAlign w:val="center"/>
          </w:tcPr>
          <w:p>
            <w:pPr>
              <w:bidi/>
              <w:spacing w:after="0" w:before="0" w:line="340" w:lineRule="auto"/>
              <w:jc w:val="center"/>
            </w:pPr>
            <w:r>
              <w:rPr>
                <w:rFonts w:ascii="Tahoma" w:cs="Tahoma" w:eastAsia="Tahoma" w:hAnsi="Tahoma"/>
                <w:b/>
                <w:bCs/>
                <w:color w:val="FFFFFF"/>
                <w:sz w:val="17"/>
                <w:szCs w:val="17"/>
                <w:rtl/>
              </w:rPr>
              <w:t xml:space="preserve">سال</w:t>
            </w:r>
          </w:p>
        </w:tc>
        <w:tc>
          <w:tcPr>
            <w:tcW w:type="dxa" w:w="1724"/>
            <w:tcBorders>
              <w:top w:val="none" w:color="16202C" w:sz="0"/>
              <w:left w:val="none" w:color="16202C" w:sz="0"/>
              <w:bottom w:val="none" w:color="16202C" w:sz="0"/>
              <w:right w:val="none" w:color="16202C" w:sz="0"/>
            </w:tcBorders>
            <w:shd w:fill="16202C" w:color="auto" w:val="clear"/>
            <w:tcMar>
              <w:top w:type="dxa" w:w="60"/>
              <w:left w:type="dxa" w:w="80"/>
              <w:bottom w:type="dxa" w:w="60"/>
              <w:right w:type="dxa" w:w="80"/>
            </w:tcMar>
            <w:vAlign w:val="center"/>
          </w:tcPr>
          <w:p>
            <w:pPr>
              <w:bidi/>
              <w:spacing w:after="0" w:before="0" w:line="340" w:lineRule="auto"/>
              <w:jc w:val="center"/>
            </w:pPr>
            <w:r>
              <w:rPr>
                <w:rFonts w:ascii="Tahoma" w:cs="Tahoma" w:eastAsia="Tahoma" w:hAnsi="Tahoma"/>
                <w:b/>
                <w:bCs/>
                <w:color w:val="FFFFFF"/>
                <w:sz w:val="17"/>
                <w:szCs w:val="17"/>
                <w:rtl/>
              </w:rPr>
              <w:t xml:space="preserve">جان‌باختگان</w:t>
            </w:r>
          </w:p>
        </w:tc>
        <w:tc>
          <w:tcPr>
            <w:tcW w:type="dxa" w:w="1300"/>
            <w:tcBorders>
              <w:top w:val="none" w:color="16202C" w:sz="0"/>
              <w:left w:val="none" w:color="16202C" w:sz="0"/>
              <w:bottom w:val="none" w:color="16202C" w:sz="0"/>
              <w:right w:val="none" w:color="16202C" w:sz="0"/>
            </w:tcBorders>
            <w:shd w:fill="16202C" w:color="auto" w:val="clear"/>
            <w:tcMar>
              <w:top w:type="dxa" w:w="60"/>
              <w:left w:type="dxa" w:w="80"/>
              <w:bottom w:type="dxa" w:w="60"/>
              <w:right w:type="dxa" w:w="80"/>
            </w:tcMar>
            <w:vAlign w:val="center"/>
          </w:tcPr>
          <w:p>
            <w:pPr>
              <w:bidi/>
              <w:spacing w:after="0" w:before="0" w:line="340" w:lineRule="auto"/>
              <w:jc w:val="center"/>
            </w:pPr>
            <w:r>
              <w:rPr>
                <w:rFonts w:ascii="Tahoma" w:cs="Tahoma" w:eastAsia="Tahoma" w:hAnsi="Tahoma"/>
                <w:b/>
                <w:bCs/>
                <w:color w:val="FFFFFF"/>
                <w:sz w:val="17"/>
                <w:szCs w:val="17"/>
                <w:rtl/>
              </w:rPr>
              <w:t xml:space="preserve">سال</w:t>
            </w:r>
          </w:p>
        </w:tc>
        <w:tc>
          <w:tcPr>
            <w:tcW w:type="dxa" w:w="1723"/>
            <w:tcBorders>
              <w:top w:val="none" w:color="16202C" w:sz="0"/>
              <w:left w:val="none" w:color="16202C" w:sz="0"/>
              <w:bottom w:val="none" w:color="16202C" w:sz="0"/>
              <w:right w:val="none" w:color="16202C" w:sz="0"/>
            </w:tcBorders>
            <w:shd w:fill="16202C" w:color="auto" w:val="clear"/>
            <w:tcMar>
              <w:top w:type="dxa" w:w="60"/>
              <w:left w:type="dxa" w:w="80"/>
              <w:bottom w:type="dxa" w:w="60"/>
              <w:right w:type="dxa" w:w="80"/>
            </w:tcMar>
            <w:vAlign w:val="center"/>
          </w:tcPr>
          <w:p>
            <w:pPr>
              <w:bidi/>
              <w:spacing w:after="0" w:before="0" w:line="340" w:lineRule="auto"/>
              <w:jc w:val="center"/>
            </w:pPr>
            <w:r>
              <w:rPr>
                <w:rFonts w:ascii="Tahoma" w:cs="Tahoma" w:eastAsia="Tahoma" w:hAnsi="Tahoma"/>
                <w:b/>
                <w:bCs/>
                <w:color w:val="FFFFFF"/>
                <w:sz w:val="17"/>
                <w:szCs w:val="17"/>
                <w:rtl/>
              </w:rPr>
              <w:t xml:space="preserve">جان‌باختگان</w:t>
            </w:r>
          </w:p>
        </w:tc>
      </w:tr>
      <w:tr>
        <w:tc>
          <w:tcPr>
            <w:tcW w:type="dxa" w:w="1300"/>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val="false"/>
                <w:color w:val="6B7684"/>
                <w:sz w:val="18"/>
                <w:szCs w:val="18"/>
                <w:rtl/>
              </w:rPr>
              <w:t xml:space="preserve">۱۳۸۲</w:t>
            </w:r>
          </w:p>
        </w:tc>
        <w:tc>
          <w:tcPr>
            <w:tcW w:type="dxa" w:w="1723"/>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bCs/>
                <w:color w:val="B23A48"/>
                <w:sz w:val="18"/>
                <w:szCs w:val="18"/>
                <w:rtl/>
              </w:rPr>
              <w:t xml:space="preserve">۲۵٬۷۲۲</w:t>
            </w:r>
          </w:p>
        </w:tc>
        <w:tc>
          <w:tcPr>
            <w:tcW w:type="dxa" w:w="1300"/>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val="false"/>
                <w:color w:val="6B7684"/>
                <w:sz w:val="18"/>
                <w:szCs w:val="18"/>
                <w:rtl/>
              </w:rPr>
              <w:t xml:space="preserve">۱۳۹۰</w:t>
            </w:r>
          </w:p>
        </w:tc>
        <w:tc>
          <w:tcPr>
            <w:tcW w:type="dxa" w:w="1724"/>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bCs/>
                <w:color w:val="2F6F5E"/>
                <w:sz w:val="18"/>
                <w:szCs w:val="18"/>
                <w:rtl/>
              </w:rPr>
              <w:t xml:space="preserve">۲۰٬۰۶۸</w:t>
            </w:r>
          </w:p>
        </w:tc>
        <w:tc>
          <w:tcPr>
            <w:tcW w:type="dxa" w:w="1300"/>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val="false"/>
                <w:color w:val="6B7684"/>
                <w:sz w:val="18"/>
                <w:szCs w:val="18"/>
                <w:rtl/>
              </w:rPr>
              <w:t xml:space="preserve">۱۳۹۸</w:t>
            </w:r>
          </w:p>
        </w:tc>
        <w:tc>
          <w:tcPr>
            <w:tcW w:type="dxa" w:w="1723"/>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bCs/>
                <w:color w:val="A8611A"/>
                <w:sz w:val="18"/>
                <w:szCs w:val="18"/>
                <w:rtl/>
              </w:rPr>
              <w:t xml:space="preserve">۱۶٬۹۴۶</w:t>
            </w:r>
          </w:p>
        </w:tc>
      </w:tr>
      <w:tr>
        <w:tc>
          <w:tcPr>
            <w:tcW w:type="dxa" w:w="1300"/>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val="false"/>
                <w:color w:val="6B7684"/>
                <w:sz w:val="18"/>
                <w:szCs w:val="18"/>
                <w:rtl/>
              </w:rPr>
              <w:t xml:space="preserve">۱۳۸۳</w:t>
            </w:r>
          </w:p>
        </w:tc>
        <w:tc>
          <w:tcPr>
            <w:tcW w:type="dxa" w:w="1723"/>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bCs/>
                <w:color w:val="B23A48"/>
                <w:sz w:val="18"/>
                <w:szCs w:val="18"/>
                <w:rtl/>
              </w:rPr>
              <w:t xml:space="preserve">۲۶٬۰۸۹</w:t>
            </w:r>
          </w:p>
        </w:tc>
        <w:tc>
          <w:tcPr>
            <w:tcW w:type="dxa" w:w="1300"/>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val="false"/>
                <w:color w:val="6B7684"/>
                <w:sz w:val="18"/>
                <w:szCs w:val="18"/>
                <w:rtl/>
              </w:rPr>
              <w:t xml:space="preserve">۱۳۹۱</w:t>
            </w:r>
          </w:p>
        </w:tc>
        <w:tc>
          <w:tcPr>
            <w:tcW w:type="dxa" w:w="1724"/>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bCs/>
                <w:color w:val="2F6F5E"/>
                <w:sz w:val="18"/>
                <w:szCs w:val="18"/>
                <w:rtl/>
              </w:rPr>
              <w:t xml:space="preserve">۱۹٬۰۸۹</w:t>
            </w:r>
          </w:p>
        </w:tc>
        <w:tc>
          <w:tcPr>
            <w:tcW w:type="dxa" w:w="1300"/>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val="false"/>
                <w:color w:val="6B7684"/>
                <w:sz w:val="18"/>
                <w:szCs w:val="18"/>
                <w:rtl/>
              </w:rPr>
              <w:t xml:space="preserve">۱۳۹۹</w:t>
            </w:r>
          </w:p>
        </w:tc>
        <w:tc>
          <w:tcPr>
            <w:tcW w:type="dxa" w:w="1723"/>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bCs/>
                <w:color w:val="A8611A"/>
                <w:sz w:val="18"/>
                <w:szCs w:val="18"/>
                <w:rtl/>
              </w:rPr>
              <w:t xml:space="preserve">۱۵٬۳۹۶</w:t>
            </w:r>
          </w:p>
        </w:tc>
      </w:tr>
      <w:tr>
        <w:tc>
          <w:tcPr>
            <w:tcW w:type="dxa" w:w="1300"/>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val="false"/>
                <w:color w:val="6B7684"/>
                <w:sz w:val="18"/>
                <w:szCs w:val="18"/>
                <w:rtl/>
              </w:rPr>
              <w:t xml:space="preserve">۱۳۸۴</w:t>
            </w:r>
          </w:p>
        </w:tc>
        <w:tc>
          <w:tcPr>
            <w:tcW w:type="dxa" w:w="1723"/>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bCs/>
                <w:color w:val="B23A48"/>
                <w:sz w:val="18"/>
                <w:szCs w:val="18"/>
                <w:rtl/>
              </w:rPr>
              <w:t xml:space="preserve">۲۷٬۷۴۶</w:t>
            </w:r>
          </w:p>
        </w:tc>
        <w:tc>
          <w:tcPr>
            <w:tcW w:type="dxa" w:w="1300"/>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val="false"/>
                <w:color w:val="6B7684"/>
                <w:sz w:val="18"/>
                <w:szCs w:val="18"/>
                <w:rtl/>
              </w:rPr>
              <w:t xml:space="preserve">۱۳۹۲</w:t>
            </w:r>
          </w:p>
        </w:tc>
        <w:tc>
          <w:tcPr>
            <w:tcW w:type="dxa" w:w="1724"/>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bCs/>
                <w:color w:val="2F6F5E"/>
                <w:sz w:val="18"/>
                <w:szCs w:val="18"/>
                <w:rtl/>
              </w:rPr>
              <w:t xml:space="preserve">۱۷٬۹۹۴</w:t>
            </w:r>
          </w:p>
        </w:tc>
        <w:tc>
          <w:tcPr>
            <w:tcW w:type="dxa" w:w="1300"/>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val="false"/>
                <w:color w:val="6B7684"/>
                <w:sz w:val="18"/>
                <w:szCs w:val="18"/>
                <w:rtl/>
              </w:rPr>
              <w:t xml:space="preserve">۱۴۰۰</w:t>
            </w:r>
          </w:p>
        </w:tc>
        <w:tc>
          <w:tcPr>
            <w:tcW w:type="dxa" w:w="1723"/>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bCs/>
                <w:color w:val="A8611A"/>
                <w:sz w:val="18"/>
                <w:szCs w:val="18"/>
                <w:rtl/>
              </w:rPr>
              <w:t xml:space="preserve">۱۶٬۷۷۸</w:t>
            </w:r>
          </w:p>
        </w:tc>
      </w:tr>
      <w:tr>
        <w:tc>
          <w:tcPr>
            <w:tcW w:type="dxa" w:w="1300"/>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val="false"/>
                <w:color w:val="6B7684"/>
                <w:sz w:val="18"/>
                <w:szCs w:val="18"/>
                <w:rtl/>
              </w:rPr>
              <w:t xml:space="preserve">۱۳۸۵</w:t>
            </w:r>
          </w:p>
        </w:tc>
        <w:tc>
          <w:tcPr>
            <w:tcW w:type="dxa" w:w="1723"/>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bCs/>
                <w:color w:val="B23A48"/>
                <w:sz w:val="18"/>
                <w:szCs w:val="18"/>
                <w:rtl/>
              </w:rPr>
              <w:t xml:space="preserve">۲۷٬۵۶۵</w:t>
            </w:r>
          </w:p>
        </w:tc>
        <w:tc>
          <w:tcPr>
            <w:tcW w:type="dxa" w:w="1300"/>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val="false"/>
                <w:color w:val="6B7684"/>
                <w:sz w:val="18"/>
                <w:szCs w:val="18"/>
                <w:rtl/>
              </w:rPr>
              <w:t xml:space="preserve">۱۳۹۳</w:t>
            </w:r>
          </w:p>
        </w:tc>
        <w:tc>
          <w:tcPr>
            <w:tcW w:type="dxa" w:w="1724"/>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bCs/>
                <w:color w:val="2F6F5E"/>
                <w:sz w:val="18"/>
                <w:szCs w:val="18"/>
                <w:rtl/>
              </w:rPr>
              <w:t xml:space="preserve">۱۶٬۸۷۲</w:t>
            </w:r>
          </w:p>
        </w:tc>
        <w:tc>
          <w:tcPr>
            <w:tcW w:type="dxa" w:w="1300"/>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val="false"/>
                <w:color w:val="6B7684"/>
                <w:sz w:val="18"/>
                <w:szCs w:val="18"/>
                <w:rtl/>
              </w:rPr>
              <w:t xml:space="preserve">۱۴۰۱</w:t>
            </w:r>
          </w:p>
        </w:tc>
        <w:tc>
          <w:tcPr>
            <w:tcW w:type="dxa" w:w="1723"/>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bCs/>
                <w:color w:val="A8611A"/>
                <w:sz w:val="18"/>
                <w:szCs w:val="18"/>
                <w:rtl/>
              </w:rPr>
              <w:t xml:space="preserve">۱۹٬۴۹۰</w:t>
            </w:r>
          </w:p>
        </w:tc>
      </w:tr>
      <w:tr>
        <w:tc>
          <w:tcPr>
            <w:tcW w:type="dxa" w:w="1300"/>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val="false"/>
                <w:color w:val="6B7684"/>
                <w:sz w:val="18"/>
                <w:szCs w:val="18"/>
                <w:rtl/>
              </w:rPr>
              <w:t xml:space="preserve">۱۳۸۶</w:t>
            </w:r>
          </w:p>
        </w:tc>
        <w:tc>
          <w:tcPr>
            <w:tcW w:type="dxa" w:w="1723"/>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bCs/>
                <w:color w:val="2F6F5E"/>
                <w:sz w:val="18"/>
                <w:szCs w:val="18"/>
                <w:rtl/>
              </w:rPr>
              <w:t xml:space="preserve">۲۲٬۹۱۸</w:t>
            </w:r>
          </w:p>
        </w:tc>
        <w:tc>
          <w:tcPr>
            <w:tcW w:type="dxa" w:w="1300"/>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val="false"/>
                <w:color w:val="6B7684"/>
                <w:sz w:val="18"/>
                <w:szCs w:val="18"/>
                <w:rtl/>
              </w:rPr>
              <w:t xml:space="preserve">۱۳۹۴</w:t>
            </w:r>
          </w:p>
        </w:tc>
        <w:tc>
          <w:tcPr>
            <w:tcW w:type="dxa" w:w="1724"/>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bCs/>
                <w:color w:val="2F6F5E"/>
                <w:sz w:val="18"/>
                <w:szCs w:val="18"/>
                <w:rtl/>
              </w:rPr>
              <w:t xml:space="preserve">۱۶٬۵۸۴</w:t>
            </w:r>
          </w:p>
        </w:tc>
        <w:tc>
          <w:tcPr>
            <w:tcW w:type="dxa" w:w="1300"/>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val="false"/>
                <w:color w:val="6B7684"/>
                <w:sz w:val="18"/>
                <w:szCs w:val="18"/>
                <w:rtl/>
              </w:rPr>
              <w:t xml:space="preserve">۱۴۰۲</w:t>
            </w:r>
          </w:p>
        </w:tc>
        <w:tc>
          <w:tcPr>
            <w:tcW w:type="dxa" w:w="1723"/>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bCs/>
                <w:color w:val="A8611A"/>
                <w:sz w:val="18"/>
                <w:szCs w:val="18"/>
                <w:rtl/>
              </w:rPr>
              <w:t xml:space="preserve">۲۰٬۰۴۵</w:t>
            </w:r>
          </w:p>
        </w:tc>
      </w:tr>
      <w:tr>
        <w:tc>
          <w:tcPr>
            <w:tcW w:type="dxa" w:w="1300"/>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val="false"/>
                <w:color w:val="6B7684"/>
                <w:sz w:val="18"/>
                <w:szCs w:val="18"/>
                <w:rtl/>
              </w:rPr>
              <w:t xml:space="preserve">۱۳۸۷</w:t>
            </w:r>
          </w:p>
        </w:tc>
        <w:tc>
          <w:tcPr>
            <w:tcW w:type="dxa" w:w="1723"/>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bCs/>
                <w:color w:val="2F6F5E"/>
                <w:sz w:val="18"/>
                <w:szCs w:val="18"/>
                <w:rtl/>
              </w:rPr>
              <w:t xml:space="preserve">۲۳٬۳۶۲</w:t>
            </w:r>
          </w:p>
        </w:tc>
        <w:tc>
          <w:tcPr>
            <w:tcW w:type="dxa" w:w="1300"/>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val="false"/>
                <w:color w:val="6B7684"/>
                <w:sz w:val="18"/>
                <w:szCs w:val="18"/>
                <w:rtl/>
              </w:rPr>
              <w:t xml:space="preserve">۱۳۹۵</w:t>
            </w:r>
          </w:p>
        </w:tc>
        <w:tc>
          <w:tcPr>
            <w:tcW w:type="dxa" w:w="1724"/>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bCs/>
                <w:color w:val="A8611A"/>
                <w:sz w:val="18"/>
                <w:szCs w:val="18"/>
                <w:rtl/>
              </w:rPr>
              <w:t xml:space="preserve">۱۵٬۹۳۲</w:t>
            </w:r>
          </w:p>
        </w:tc>
        <w:tc>
          <w:tcPr>
            <w:tcW w:type="dxa" w:w="1300"/>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val="false"/>
                <w:color w:val="6B7684"/>
                <w:sz w:val="18"/>
                <w:szCs w:val="18"/>
                <w:rtl/>
              </w:rPr>
              <w:t xml:space="preserve">۱۴۰۳</w:t>
            </w:r>
          </w:p>
        </w:tc>
        <w:tc>
          <w:tcPr>
            <w:tcW w:type="dxa" w:w="1723"/>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bCs/>
                <w:color w:val="A8611A"/>
                <w:sz w:val="18"/>
                <w:szCs w:val="18"/>
                <w:rtl/>
              </w:rPr>
              <w:t xml:space="preserve">۱۹٬۴۳۵</w:t>
            </w:r>
          </w:p>
        </w:tc>
      </w:tr>
      <w:tr>
        <w:tc>
          <w:tcPr>
            <w:tcW w:type="dxa" w:w="1300"/>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val="false"/>
                <w:color w:val="6B7684"/>
                <w:sz w:val="18"/>
                <w:szCs w:val="18"/>
                <w:rtl/>
              </w:rPr>
              <w:t xml:space="preserve">۱۳۸۸</w:t>
            </w:r>
          </w:p>
        </w:tc>
        <w:tc>
          <w:tcPr>
            <w:tcW w:type="dxa" w:w="1723"/>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bCs/>
                <w:color w:val="2F6F5E"/>
                <w:sz w:val="18"/>
                <w:szCs w:val="18"/>
                <w:rtl/>
              </w:rPr>
              <w:t xml:space="preserve">۲۲٬۹۷۴</w:t>
            </w:r>
          </w:p>
        </w:tc>
        <w:tc>
          <w:tcPr>
            <w:tcW w:type="dxa" w:w="1300"/>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val="false"/>
                <w:color w:val="6B7684"/>
                <w:sz w:val="18"/>
                <w:szCs w:val="18"/>
                <w:rtl/>
              </w:rPr>
              <w:t xml:space="preserve">۱۳۹۶</w:t>
            </w:r>
          </w:p>
        </w:tc>
        <w:tc>
          <w:tcPr>
            <w:tcW w:type="dxa" w:w="1724"/>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bCs/>
                <w:color w:val="A8611A"/>
                <w:sz w:val="18"/>
                <w:szCs w:val="18"/>
                <w:rtl/>
              </w:rPr>
              <w:t xml:space="preserve">۱۶٬۲۰۱</w:t>
            </w:r>
          </w:p>
        </w:tc>
        <w:tc>
          <w:tcPr>
            <w:tcW w:type="dxa" w:w="1300"/>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val="false"/>
                <w:color w:val="6B7684"/>
                <w:sz w:val="18"/>
                <w:szCs w:val="18"/>
                <w:rtl/>
              </w:rPr>
              <w:t xml:space="preserve">۱۴۰۴</w:t>
            </w:r>
          </w:p>
        </w:tc>
        <w:tc>
          <w:tcPr>
            <w:tcW w:type="dxa" w:w="1723"/>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bCs/>
                <w:color w:val="A8611A"/>
                <w:sz w:val="18"/>
                <w:szCs w:val="18"/>
                <w:rtl/>
              </w:rPr>
              <w:t xml:space="preserve">۱۹٬۵۴۰</w:t>
            </w:r>
          </w:p>
        </w:tc>
      </w:tr>
      <w:tr>
        <w:tc>
          <w:tcPr>
            <w:tcW w:type="dxa" w:w="1300"/>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val="false"/>
                <w:color w:val="6B7684"/>
                <w:sz w:val="18"/>
                <w:szCs w:val="18"/>
                <w:rtl/>
              </w:rPr>
              <w:t xml:space="preserve">۱۳۸۹</w:t>
            </w:r>
          </w:p>
        </w:tc>
        <w:tc>
          <w:tcPr>
            <w:tcW w:type="dxa" w:w="1723"/>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bCs/>
                <w:color w:val="2F6F5E"/>
                <w:sz w:val="18"/>
                <w:szCs w:val="18"/>
                <w:rtl/>
              </w:rPr>
              <w:t xml:space="preserve">۲۳٬۲۴۹</w:t>
            </w:r>
          </w:p>
        </w:tc>
        <w:tc>
          <w:tcPr>
            <w:tcW w:type="dxa" w:w="1300"/>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val="false"/>
                <w:color w:val="6B7684"/>
                <w:sz w:val="18"/>
                <w:szCs w:val="18"/>
                <w:rtl/>
              </w:rPr>
              <w:t xml:space="preserve">۱۳۹۷</w:t>
            </w:r>
          </w:p>
        </w:tc>
        <w:tc>
          <w:tcPr>
            <w:tcW w:type="dxa" w:w="1724"/>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bCs/>
                <w:color w:val="A8611A"/>
                <w:sz w:val="18"/>
                <w:szCs w:val="18"/>
                <w:rtl/>
              </w:rPr>
              <w:t xml:space="preserve">۱۷٬۱۸۳</w:t>
            </w:r>
          </w:p>
        </w:tc>
        <w:tc>
          <w:tcPr>
            <w:tcW w:type="dxa" w:w="1300"/>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val="false"/>
                <w:color w:val="6B7684"/>
                <w:sz w:val="18"/>
                <w:szCs w:val="18"/>
                <w:rtl/>
              </w:rPr>
              <w:t xml:space="preserve"/>
            </w:r>
          </w:p>
        </w:tc>
        <w:tc>
          <w:tcPr>
            <w:tcW w:type="dxa" w:w="1723"/>
            <w:tcBorders>
              <w:top w:val="none" w:color="FFFFFF" w:sz="0"/>
              <w:left w:val="none" w:color="FFFFFF" w:sz="0"/>
              <w:bottom w:val="single" w:color="E7EAEE" w:sz="2"/>
              <w:right w:val="none" w:color="FFFFFF" w:sz="0"/>
            </w:tcBorders>
            <w:tcMar>
              <w:top w:type="dxa" w:w="60"/>
              <w:left w:type="dxa" w:w="80"/>
              <w:bottom w:type="dxa" w:w="60"/>
              <w:right w:type="dxa" w:w="80"/>
            </w:tcMar>
            <w:vAlign w:val="center"/>
          </w:tcPr>
          <w:p>
            <w:pPr>
              <w:bidi/>
              <w:spacing w:after="0" w:before="0" w:line="340" w:lineRule="auto"/>
              <w:jc w:val="center"/>
            </w:pPr>
            <w:r>
              <w:rPr>
                <w:rFonts w:ascii="Tahoma" w:cs="Tahoma" w:eastAsia="Tahoma" w:hAnsi="Tahoma"/>
                <w:b/>
                <w:bCs/>
                <w:color w:val="23303F"/>
                <w:sz w:val="18"/>
                <w:szCs w:val="18"/>
                <w:rtl/>
              </w:rPr>
              <w:t xml:space="preserve"/>
            </w:r>
          </w:p>
        </w:tc>
      </w:tr>
    </w:tbl>
    <w:p>
      <w:pPr>
        <w:spacing w:after="40"/>
      </w:pPr>
    </w:p>
    <w:p>
      <w:pPr>
        <w:bidi/>
        <w:spacing w:after="160" w:before="0" w:line="340" w:lineRule="auto"/>
        <w:jc w:val="right"/>
      </w:pPr>
      <w:r>
        <w:rPr>
          <w:rFonts w:ascii="Tahoma" w:cs="Tahoma" w:eastAsia="Tahoma" w:hAnsi="Tahoma"/>
          <w:b w:val="false"/>
          <w:color w:val="B23A48"/>
          <w:sz w:val="16"/>
          <w:szCs w:val="16"/>
          <w:rtl/>
        </w:rPr>
        <w:t xml:space="preserve">■ </w:t>
      </w:r>
      <w:r>
        <w:rPr>
          <w:rFonts w:ascii="Tahoma" w:cs="Tahoma" w:eastAsia="Tahoma" w:hAnsi="Tahoma"/>
          <w:b w:val="false"/>
          <w:color w:val="7A8592"/>
          <w:sz w:val="17"/>
          <w:szCs w:val="17"/>
          <w:rtl/>
        </w:rPr>
        <w:t xml:space="preserve">۱۳۸۲–۱۳۸۵ تشدید بحران     </w:t>
      </w:r>
      <w:r>
        <w:rPr>
          <w:rFonts w:ascii="Tahoma" w:cs="Tahoma" w:eastAsia="Tahoma" w:hAnsi="Tahoma"/>
          <w:b w:val="false"/>
          <w:color w:val="2F6F5E"/>
          <w:sz w:val="16"/>
          <w:szCs w:val="16"/>
          <w:rtl/>
        </w:rPr>
        <w:t xml:space="preserve">■ </w:t>
      </w:r>
      <w:r>
        <w:rPr>
          <w:rFonts w:ascii="Tahoma" w:cs="Tahoma" w:eastAsia="Tahoma" w:hAnsi="Tahoma"/>
          <w:b w:val="false"/>
          <w:color w:val="7A8592"/>
          <w:sz w:val="17"/>
          <w:szCs w:val="17"/>
          <w:rtl/>
        </w:rPr>
        <w:t xml:space="preserve">۱۳۸۶–۱۳۹۴ کاهش پایدار تلفات     </w:t>
      </w:r>
      <w:r>
        <w:rPr>
          <w:rFonts w:ascii="Tahoma" w:cs="Tahoma" w:eastAsia="Tahoma" w:hAnsi="Tahoma"/>
          <w:b w:val="false"/>
          <w:color w:val="C8781F"/>
          <w:sz w:val="16"/>
          <w:szCs w:val="16"/>
          <w:rtl/>
        </w:rPr>
        <w:t xml:space="preserve">■ </w:t>
      </w:r>
      <w:r>
        <w:rPr>
          <w:rFonts w:ascii="Tahoma" w:cs="Tahoma" w:eastAsia="Tahoma" w:hAnsi="Tahoma"/>
          <w:b w:val="false"/>
          <w:color w:val="7A8592"/>
          <w:sz w:val="17"/>
          <w:szCs w:val="17"/>
          <w:rtl/>
        </w:rPr>
        <w:t xml:space="preserve">۱۳۹۵–۱۴۰۴ بازگشت تلفات</w:t>
      </w:r>
    </w:p>
    <w:p>
      <w:pPr>
        <w:pBdr>
          <w:left w:val="single" w:color="2F6F5E" w:sz="18" w:space="6"/>
        </w:pBdr>
        <w:bidi/>
        <w:spacing w:after="140" w:before="320" w:line="300" w:lineRule="auto"/>
        <w:jc w:val="right"/>
      </w:pPr>
      <w:r>
        <w:rPr>
          <w:rFonts w:ascii="Tahoma" w:cs="Tahoma" w:eastAsia="Tahoma" w:hAnsi="Tahoma"/>
          <w:b/>
          <w:bCs/>
          <w:color w:val="16202C"/>
          <w:sz w:val="26"/>
          <w:szCs w:val="26"/>
          <w:rtl/>
        </w:rPr>
        <w:t xml:space="preserve">سه دوره متفاوت در مدیریت ایمنی</w:t>
      </w:r>
    </w:p>
    <w:p>
      <w:pPr>
        <w:bidi/>
        <w:spacing w:after="160" w:before="0" w:line="340" w:lineRule="auto"/>
        <w:jc w:val="both"/>
      </w:pPr>
      <w:r>
        <w:rPr>
          <w:rFonts w:ascii="Tahoma" w:cs="Tahoma" w:eastAsia="Tahoma" w:hAnsi="Tahoma"/>
          <w:b w:val="false"/>
          <w:color w:val="23303F"/>
          <w:sz w:val="21"/>
          <w:szCs w:val="21"/>
          <w:rtl/>
        </w:rPr>
        <w:t xml:space="preserve">با نگاه به این آمار می‌توان روند ۱۳۸۲ تا ۱۴۰۴ را به سه دوره اصلی تقسیم کرد.</w:t>
      </w:r>
    </w:p>
    <w:tbl>
      <w:tblPr>
        <w:bidiVisual/>
        <w:tblW w:type="dxa" w:w="9070"/>
        <w:tblBorders>
          <w:top w:val="single" w:color="FFFFFF" w:sz="0"/>
          <w:left w:val="single" w:color="B23A48" w:sz="24"/>
          <w:bottom w:val="single" w:color="FFFFFF" w:sz="0"/>
          <w:right w:val="single" w:color="FFFFFF" w:sz="0"/>
          <w:insideH w:val="none" w:color="FFFFFF" w:sz="0"/>
          <w:insideV w:val="none" w:color="FFFFFF" w:sz="0"/>
        </w:tblBorders>
      </w:tblPr>
      <w:tblGrid>
        <w:gridCol w:w="9070"/>
      </w:tblGrid>
      <w:tr>
        <w:tc>
          <w:tcPr>
            <w:tcW w:type="dxa" w:w="9070"/>
            <w:shd w:fill="FBFCFC" w:color="auto" w:val="clear"/>
            <w:tcMar>
              <w:top w:type="dxa" w:w="140"/>
              <w:left w:type="dxa" w:w="180"/>
              <w:bottom w:type="dxa" w:w="100"/>
              <w:right w:type="dxa" w:w="180"/>
            </w:tcMar>
          </w:tcPr>
          <w:p>
            <w:pPr>
              <w:bidi/>
              <w:spacing w:after="100" w:before="0" w:line="300" w:lineRule="auto"/>
              <w:jc w:val="right"/>
            </w:pPr>
            <w:r>
              <w:rPr>
                <w:rFonts w:ascii="Tahoma" w:cs="Tahoma" w:eastAsia="Tahoma" w:hAnsi="Tahoma"/>
                <w:b/>
                <w:bCs/>
                <w:color w:val="16202C"/>
                <w:sz w:val="22"/>
                <w:szCs w:val="22"/>
                <w:rtl/>
              </w:rPr>
              <w:t xml:space="preserve">دوره اول؛ تشدید بحران </w:t>
            </w:r>
            <w:r>
              <w:rPr>
                <w:rFonts w:ascii="Tahoma" w:cs="Tahoma" w:eastAsia="Tahoma" w:hAnsi="Tahoma"/>
                <w:b w:val="false"/>
                <w:color w:val="6B7684"/>
                <w:sz w:val="19"/>
                <w:szCs w:val="19"/>
                <w:rtl/>
              </w:rPr>
              <w:t xml:space="preserve">— ۱۳۸۲ تا ۱۳۸۵</w:t>
            </w:r>
          </w:p>
          <w:p>
            <w:pPr>
              <w:bidi/>
              <w:spacing w:after="0" w:before="0" w:line="320" w:lineRule="auto"/>
              <w:jc w:val="both"/>
            </w:pPr>
            <w:r>
              <w:rPr>
                <w:rFonts w:ascii="Tahoma" w:cs="Tahoma" w:eastAsia="Tahoma" w:hAnsi="Tahoma"/>
                <w:b w:val="false"/>
                <w:color w:val="23303F"/>
                <w:sz w:val="20"/>
                <w:szCs w:val="20"/>
                <w:rtl/>
              </w:rPr>
              <w:t xml:space="preserve">تلفات در این دوره افزایش یافت و در محدوده ۲۷ هزار نفر قرار گرفت. رشد سریع سفر و وسایل نقلیه، ضعف کنترل مؤثر، ایمنی پایین بخشی از خودروها، مشکلات زیرساختی و رفتارهای پرخطر، مجموعه‌ای از عوامل شکل‌دهنده بحران بودند.</w:t>
            </w:r>
          </w:p>
        </w:tc>
      </w:tr>
    </w:tbl>
    <w:p>
      <w:pPr>
        <w:spacing w:after="100"/>
      </w:pPr>
    </w:p>
    <w:tbl>
      <w:tblPr>
        <w:bidiVisual/>
        <w:tblW w:type="dxa" w:w="9070"/>
        <w:tblBorders>
          <w:top w:val="single" w:color="FFFFFF" w:sz="0"/>
          <w:left w:val="single" w:color="2F6F5E" w:sz="24"/>
          <w:bottom w:val="single" w:color="FFFFFF" w:sz="0"/>
          <w:right w:val="single" w:color="FFFFFF" w:sz="0"/>
          <w:insideH w:val="none" w:color="FFFFFF" w:sz="0"/>
          <w:insideV w:val="none" w:color="FFFFFF" w:sz="0"/>
        </w:tblBorders>
      </w:tblPr>
      <w:tblGrid>
        <w:gridCol w:w="9070"/>
      </w:tblGrid>
      <w:tr>
        <w:tc>
          <w:tcPr>
            <w:tcW w:type="dxa" w:w="9070"/>
            <w:shd w:fill="FBFCFC" w:color="auto" w:val="clear"/>
            <w:tcMar>
              <w:top w:type="dxa" w:w="140"/>
              <w:left w:type="dxa" w:w="180"/>
              <w:bottom w:type="dxa" w:w="100"/>
              <w:right w:type="dxa" w:w="180"/>
            </w:tcMar>
          </w:tcPr>
          <w:p>
            <w:pPr>
              <w:bidi/>
              <w:spacing w:after="100" w:before="0" w:line="300" w:lineRule="auto"/>
              <w:jc w:val="right"/>
            </w:pPr>
            <w:r>
              <w:rPr>
                <w:rFonts w:ascii="Tahoma" w:cs="Tahoma" w:eastAsia="Tahoma" w:hAnsi="Tahoma"/>
                <w:b/>
                <w:bCs/>
                <w:color w:val="16202C"/>
                <w:sz w:val="22"/>
                <w:szCs w:val="22"/>
                <w:rtl/>
              </w:rPr>
              <w:t xml:space="preserve">دوره دوم؛ کاهش پایدار تلفات </w:t>
            </w:r>
            <w:r>
              <w:rPr>
                <w:rFonts w:ascii="Tahoma" w:cs="Tahoma" w:eastAsia="Tahoma" w:hAnsi="Tahoma"/>
                <w:b w:val="false"/>
                <w:color w:val="6B7684"/>
                <w:sz w:val="19"/>
                <w:szCs w:val="19"/>
                <w:rtl/>
              </w:rPr>
              <w:t xml:space="preserve">— ۱۳۸۶ تا ۱۳۹۴</w:t>
            </w:r>
          </w:p>
          <w:p>
            <w:pPr>
              <w:bidi/>
              <w:spacing w:after="120" w:before="0" w:line="320" w:lineRule="auto"/>
              <w:jc w:val="both"/>
            </w:pPr>
            <w:r>
              <w:rPr>
                <w:rFonts w:ascii="Tahoma" w:cs="Tahoma" w:eastAsia="Tahoma" w:hAnsi="Tahoma"/>
                <w:b w:val="false"/>
                <w:color w:val="23303F"/>
                <w:sz w:val="20"/>
                <w:szCs w:val="20"/>
                <w:rtl/>
              </w:rPr>
              <w:t xml:space="preserve">این دوره مهم‌ترین تجربه موفق ایران در زمینه ایمنی ترافیک است. طی حدود یک دهه، تعداد جان‌باختگان از حدود ۲۷٬۵۰۰ نفر به حدود ۱۶٬۶۰۰ نفر رسید.</w:t>
            </w:r>
          </w:p>
          <w:p>
            <w:pPr>
              <w:bidi/>
              <w:spacing w:after="0" w:before="0" w:line="320" w:lineRule="auto"/>
              <w:jc w:val="both"/>
            </w:pPr>
            <w:r>
              <w:rPr>
                <w:rFonts w:ascii="Tahoma" w:cs="Tahoma" w:eastAsia="Tahoma" w:hAnsi="Tahoma"/>
                <w:b w:val="false"/>
                <w:color w:val="23303F"/>
                <w:sz w:val="20"/>
                <w:szCs w:val="20"/>
                <w:rtl/>
              </w:rPr>
              <w:t xml:space="preserve">نکته مهم این است که این کاهش حاصل یک پروژه یا عملکرد یک دستگاه نبود؛ بلکه نتیجه هم‌زمانی مجموعه‌ای از اقدامات در حوزه قانون، کنترل، خودرو، راه، رفتار راننده، ایمنی موتورسیکلت، امداد و درمان بود.</w:t>
            </w:r>
          </w:p>
        </w:tc>
      </w:tr>
    </w:tbl>
    <w:p>
      <w:pPr>
        <w:spacing w:after="100"/>
      </w:pPr>
    </w:p>
    <w:tbl>
      <w:tblPr>
        <w:bidiVisual/>
        <w:tblW w:type="dxa" w:w="9070"/>
        <w:tblBorders>
          <w:top w:val="single" w:color="FFFFFF" w:sz="0"/>
          <w:left w:val="single" w:color="C8781F" w:sz="24"/>
          <w:bottom w:val="single" w:color="FFFFFF" w:sz="0"/>
          <w:right w:val="single" w:color="FFFFFF" w:sz="0"/>
          <w:insideH w:val="none" w:color="FFFFFF" w:sz="0"/>
          <w:insideV w:val="none" w:color="FFFFFF" w:sz="0"/>
        </w:tblBorders>
      </w:tblPr>
      <w:tblGrid>
        <w:gridCol w:w="9070"/>
      </w:tblGrid>
      <w:tr>
        <w:tc>
          <w:tcPr>
            <w:tcW w:type="dxa" w:w="9070"/>
            <w:shd w:fill="FBFCFC" w:color="auto" w:val="clear"/>
            <w:tcMar>
              <w:top w:type="dxa" w:w="140"/>
              <w:left w:type="dxa" w:w="180"/>
              <w:bottom w:type="dxa" w:w="100"/>
              <w:right w:type="dxa" w:w="180"/>
            </w:tcMar>
          </w:tcPr>
          <w:p>
            <w:pPr>
              <w:bidi/>
              <w:spacing w:after="100" w:before="0" w:line="300" w:lineRule="auto"/>
              <w:jc w:val="right"/>
            </w:pPr>
            <w:r>
              <w:rPr>
                <w:rFonts w:ascii="Tahoma" w:cs="Tahoma" w:eastAsia="Tahoma" w:hAnsi="Tahoma"/>
                <w:b/>
                <w:bCs/>
                <w:color w:val="16202C"/>
                <w:sz w:val="22"/>
                <w:szCs w:val="22"/>
                <w:rtl/>
              </w:rPr>
              <w:t xml:space="preserve">دوره سوم؛ توقف روند کاهش و بازگشت تلفات </w:t>
            </w:r>
            <w:r>
              <w:rPr>
                <w:rFonts w:ascii="Tahoma" w:cs="Tahoma" w:eastAsia="Tahoma" w:hAnsi="Tahoma"/>
                <w:b w:val="false"/>
                <w:color w:val="6B7684"/>
                <w:sz w:val="19"/>
                <w:szCs w:val="19"/>
                <w:rtl/>
              </w:rPr>
              <w:t xml:space="preserve">— ۱۳۹۵ تا ۱۴۰۴</w:t>
            </w:r>
          </w:p>
          <w:p>
            <w:pPr>
              <w:bidi/>
              <w:spacing w:after="0" w:before="0" w:line="320" w:lineRule="auto"/>
              <w:jc w:val="both"/>
            </w:pPr>
            <w:r>
              <w:rPr>
                <w:rFonts w:ascii="Tahoma" w:cs="Tahoma" w:eastAsia="Tahoma" w:hAnsi="Tahoma"/>
                <w:b w:val="false"/>
                <w:color w:val="23303F"/>
                <w:sz w:val="20"/>
                <w:szCs w:val="20"/>
                <w:rtl/>
              </w:rPr>
              <w:t xml:space="preserve">از سال ۱۳۹۵ روند نزولی متوقف شد و اگرچه در برخی سال‌ها کاهش مقطعی مشاهده شد، اما از سال ۱۴۰۰ به بعد افزایش محسوسی اتفاق افتاد و تعداد فوتی‌ها در سال‌های ۱۴۰۱ و ۱۴۰۲ دوباره از مرز ۱۹ و ۲۰ هزار نفر عبور کرد. در سال‌های ۱۴۰۳ و ۱۴۰۴ نیز تلفات در محدوده ۱۹٬۵۰۰ نفر باقی ماند.</w:t>
            </w:r>
          </w:p>
        </w:tc>
      </w:tr>
    </w:tbl>
    <w:p>
      <w:pPr>
        <w:spacing w:after="80"/>
      </w:pPr>
    </w:p>
    <w:p>
      <w:pPr>
        <w:pBdr>
          <w:left w:val="single" w:color="2F6F5E" w:sz="18" w:space="6"/>
        </w:pBdr>
        <w:bidi/>
        <w:spacing w:after="140" w:before="320" w:line="300" w:lineRule="auto"/>
        <w:jc w:val="right"/>
      </w:pPr>
      <w:r>
        <w:rPr>
          <w:rFonts w:ascii="Tahoma" w:cs="Tahoma" w:eastAsia="Tahoma" w:hAnsi="Tahoma"/>
          <w:b/>
          <w:bCs/>
          <w:color w:val="16202C"/>
          <w:sz w:val="26"/>
          <w:szCs w:val="26"/>
          <w:rtl/>
        </w:rPr>
        <w:t xml:space="preserve">نکته اصلی این گزارش</w:t>
      </w:r>
    </w:p>
    <w:p>
      <w:pPr>
        <w:bidi/>
        <w:spacing w:after="140" w:before="0" w:line="340" w:lineRule="auto"/>
        <w:jc w:val="both"/>
      </w:pPr>
      <w:r>
        <w:rPr>
          <w:rFonts w:ascii="Tahoma" w:cs="Tahoma" w:eastAsia="Tahoma" w:hAnsi="Tahoma"/>
          <w:b w:val="false"/>
          <w:color w:val="23303F"/>
          <w:sz w:val="21"/>
          <w:szCs w:val="21"/>
          <w:rtl/>
        </w:rPr>
        <w:t xml:space="preserve">مقایسه این سه دوره یک واقعیت مهم را نشان می‌دهد:</w:t>
      </w:r>
    </w:p>
    <w:tbl>
      <w:tblPr>
        <w:bidiVisual/>
        <w:tblW w:type="dxa" w:w="9070"/>
        <w:tblBorders>
          <w:top w:val="single" w:color="FFFFFF" w:sz="0"/>
          <w:left w:val="single" w:color="FFFFFF" w:sz="0"/>
          <w:bottom w:val="single" w:color="FFFFFF" w:sz="0"/>
          <w:right w:val="single" w:color="FFFFFF" w:sz="0"/>
          <w:insideH w:val="none" w:color="FFFFFF" w:sz="0"/>
          <w:insideV w:val="none" w:color="FFFFFF" w:sz="0"/>
        </w:tblBorders>
      </w:tblPr>
      <w:tblGrid>
        <w:gridCol w:w="9070"/>
      </w:tblGrid>
      <w:tr>
        <w:tc>
          <w:tcPr>
            <w:tcW w:type="dxa" w:w="9070"/>
            <w:shd w:fill="16202C" w:color="auto" w:val="clear"/>
            <w:tcMar>
              <w:top w:type="dxa" w:w="140"/>
              <w:left w:type="dxa" w:w="180"/>
              <w:bottom w:type="dxa" w:w="100"/>
              <w:right w:type="dxa" w:w="180"/>
            </w:tcMar>
          </w:tcPr>
          <w:p>
            <w:pPr>
              <w:bidi/>
              <w:spacing w:after="0" w:before="0" w:line="330" w:lineRule="auto"/>
              <w:jc w:val="right"/>
            </w:pPr>
            <w:r>
              <w:rPr>
                <w:rFonts w:ascii="Tahoma" w:cs="Tahoma" w:eastAsia="Tahoma" w:hAnsi="Tahoma"/>
                <w:b/>
                <w:bCs/>
                <w:color w:val="FFFFFF"/>
                <w:sz w:val="23"/>
                <w:szCs w:val="23"/>
                <w:rtl/>
              </w:rPr>
              <w:t xml:space="preserve">ایران مشکل «ندانستن راه کاهش تلفات» را ندارد؛ مشکل اصلی، تبدیل تجربه‌های موفق گذشته به یک نظام پایدار و پاسخ‌گو برای ایمنی حمل‌ونقل است.</w:t>
            </w:r>
          </w:p>
        </w:tc>
      </w:tr>
    </w:tbl>
    <w:p>
      <w:pPr>
        <w:spacing w:after="140"/>
      </w:pPr>
    </w:p>
    <w:p>
      <w:pPr>
        <w:bidi/>
        <w:spacing w:after="140" w:before="0" w:line="340" w:lineRule="auto"/>
        <w:jc w:val="both"/>
      </w:pPr>
      <w:r>
        <w:rPr>
          <w:rFonts w:ascii="Tahoma" w:cs="Tahoma" w:eastAsia="Tahoma" w:hAnsi="Tahoma"/>
          <w:b w:val="false"/>
          <w:color w:val="23303F"/>
          <w:sz w:val="21"/>
          <w:szCs w:val="21"/>
          <w:rtl/>
        </w:rPr>
        <w:t xml:space="preserve">از سال ۱۳۸۵ تا ۱۳۹۴ حدود ۱۱ هزار نفر از تلفات سالانه کاسته شد. اما در فاصله ۱۳۹۴ تا ۱۴۰۴، مجدداً نزدیک به ۳ هزار نفر به تلفات سالانه اضافه شد.</w:t>
      </w:r>
    </w:p>
    <w:p>
      <w:pPr>
        <w:bidi/>
        <w:spacing w:after="140" w:before="0" w:line="340" w:lineRule="auto"/>
        <w:jc w:val="both"/>
      </w:pPr>
      <w:r>
        <w:rPr>
          <w:rFonts w:ascii="Tahoma" w:cs="Tahoma" w:eastAsia="Tahoma" w:hAnsi="Tahoma"/>
          <w:b w:val="false"/>
          <w:color w:val="23303F"/>
          <w:sz w:val="21"/>
          <w:szCs w:val="21"/>
          <w:rtl/>
        </w:rPr>
        <w:t xml:space="preserve">این تغییر را نمی‌توان فقط به افزایش تعداد خودرو یا افزایش سفر نسبت داد. در یک نظام ایمنی کارآمد، رشد تقاضای حمل‌ونقل باید هم‌زمان با ارتقای ایمنی راه، خودرو، راننده، نظارت، امداد و درمان مدیریت شود.</w:t>
      </w:r>
    </w:p>
    <w:p>
      <w:pPr>
        <w:pBdr>
          <w:left w:val="single" w:color="2F6F5E" w:sz="18" w:space="6"/>
        </w:pBdr>
        <w:bidi/>
        <w:spacing w:after="140" w:before="320" w:line="300" w:lineRule="auto"/>
        <w:jc w:val="right"/>
      </w:pPr>
      <w:r>
        <w:rPr>
          <w:rFonts w:ascii="Tahoma" w:cs="Tahoma" w:eastAsia="Tahoma" w:hAnsi="Tahoma"/>
          <w:b/>
          <w:bCs/>
          <w:color w:val="16202C"/>
          <w:sz w:val="26"/>
          <w:szCs w:val="26"/>
          <w:rtl/>
        </w:rPr>
        <w:t xml:space="preserve">مسئله امروز کجاست؟</w:t>
      </w:r>
    </w:p>
    <w:p>
      <w:pPr>
        <w:bidi/>
        <w:spacing w:after="140" w:before="0" w:line="340" w:lineRule="auto"/>
        <w:jc w:val="both"/>
      </w:pPr>
      <w:r>
        <w:rPr>
          <w:rFonts w:ascii="Tahoma" w:cs="Tahoma" w:eastAsia="Tahoma" w:hAnsi="Tahoma"/>
          <w:b w:val="false"/>
          <w:color w:val="23303F"/>
          <w:sz w:val="21"/>
          <w:szCs w:val="21"/>
          <w:rtl/>
        </w:rPr>
        <w:t xml:space="preserve">به نظر می‌رسد یکی از مشکلات اساسی، نگاه بخشی به تصادفات است. پلیس، وزارت راه، خودروساز، وزارت بهداشت، اورژانس، پزشکی قانونی، شهرداری‌ها و سایر دستگاه‌ها هرکدام بخشی از مسئله را در اختیار دارند؛ اما مسئولیت نهایی برای کاهش «تلفات» باید فراتر از عملکرد منفرد هر دستگاه تعریف شود.</w:t>
      </w:r>
    </w:p>
    <w:p>
      <w:pPr>
        <w:bidi/>
        <w:spacing w:after="140" w:before="0" w:line="340" w:lineRule="auto"/>
        <w:jc w:val="both"/>
      </w:pPr>
      <w:r>
        <w:rPr>
          <w:rFonts w:ascii="Tahoma" w:cs="Tahoma" w:eastAsia="Tahoma" w:hAnsi="Tahoma"/>
          <w:b w:val="false"/>
          <w:color w:val="23303F"/>
          <w:sz w:val="21"/>
          <w:szCs w:val="21"/>
          <w:rtl/>
        </w:rPr>
        <w:t xml:space="preserve">از سوی دیگر، هنوز در بسیاری از موارد، تمرکز مدیریتی بر «تعداد تصادف» است؛ در حالی که شاخص اصلی باید تعداد جان‌باختگان و شدت پیامدهای حادثه باشد.</w:t>
      </w:r>
    </w:p>
    <w:p>
      <w:pPr>
        <w:bidi/>
        <w:spacing w:after="140" w:before="0" w:line="340" w:lineRule="auto"/>
        <w:jc w:val="both"/>
      </w:pPr>
      <w:r>
        <w:rPr>
          <w:rFonts w:ascii="Tahoma" w:cs="Tahoma" w:eastAsia="Tahoma" w:hAnsi="Tahoma"/>
          <w:b w:val="false"/>
          <w:color w:val="23303F"/>
          <w:sz w:val="21"/>
          <w:szCs w:val="21"/>
          <w:rtl/>
        </w:rPr>
        <w:t xml:space="preserve">تصادف یک خروجی نهایی از یک زنجیره است؛ زنجیره‌ای که از طراحی و نگهداری راه و کیفیت خودرو شروع می‌شود، به رفتار و شرایط راننده می‌رسد و پس از وقوع حادثه نیز با زمان رسیدن امداد، کیفیت انتقال و درمان ادامه پیدا می‌کند. بنابراین برای کاهش تلفات، باید همین زنجیره به‌صورت یکپارچه مدیریت شود.</w:t>
      </w:r>
    </w:p>
    <w:p>
      <w:pPr>
        <w:pBdr>
          <w:left w:val="single" w:color="2F6F5E" w:sz="18" w:space="6"/>
        </w:pBdr>
        <w:bidi/>
        <w:spacing w:after="140" w:before="320" w:line="300" w:lineRule="auto"/>
        <w:jc w:val="right"/>
      </w:pPr>
      <w:r>
        <w:rPr>
          <w:rFonts w:ascii="Tahoma" w:cs="Tahoma" w:eastAsia="Tahoma" w:hAnsi="Tahoma"/>
          <w:b/>
          <w:bCs/>
          <w:color w:val="16202C"/>
          <w:sz w:val="26"/>
          <w:szCs w:val="26"/>
          <w:rtl/>
        </w:rPr>
        <w:t xml:space="preserve">پیشنهاد مدیریتی</w:t>
      </w:r>
    </w:p>
    <w:p>
      <w:pPr>
        <w:bidi/>
        <w:spacing w:after="140" w:before="0" w:line="340" w:lineRule="auto"/>
        <w:jc w:val="both"/>
      </w:pPr>
      <w:r>
        <w:rPr>
          <w:rFonts w:ascii="Tahoma" w:cs="Tahoma" w:eastAsia="Tahoma" w:hAnsi="Tahoma"/>
          <w:b w:val="false"/>
          <w:color w:val="23303F"/>
          <w:sz w:val="21"/>
          <w:szCs w:val="21"/>
          <w:rtl/>
        </w:rPr>
        <w:t xml:space="preserve">پیشنهاد اصلی این است که سیاست ایمنی کشور از «مدیریت دستگاه‌ها» به سمت مدیریت نتیجه حرکت کند.</w:t>
      </w:r>
    </w:p>
    <w:p>
      <w:pPr>
        <w:bidi/>
        <w:spacing w:after="140" w:before="0" w:line="340" w:lineRule="auto"/>
        <w:jc w:val="both"/>
      </w:pPr>
      <w:r>
        <w:rPr>
          <w:rFonts w:ascii="Tahoma" w:cs="Tahoma" w:eastAsia="Tahoma" w:hAnsi="Tahoma"/>
          <w:b w:val="false"/>
          <w:color w:val="23303F"/>
          <w:sz w:val="21"/>
          <w:szCs w:val="21"/>
          <w:rtl/>
        </w:rPr>
        <w:t xml:space="preserve">برای هر استان و هر محور پرتصادف، باید یک تصویر واحد از تلفات و عوامل مؤثر بر آن وجود داشته باشد؛ به‌گونه‌ای که مشخص شود هر فوتی در کجا، چه زمانی، با چه نوع وسیله نقلیه‌ای، در چه شرایط راه و جوی، با چه نوع خطای انسانی و با چه کیفیتی از امدادرسانی اتفاق افتاده است.</w:t>
      </w:r>
    </w:p>
    <w:p>
      <w:pPr>
        <w:bidi/>
        <w:spacing w:after="140" w:before="0" w:line="340" w:lineRule="auto"/>
        <w:jc w:val="both"/>
      </w:pPr>
      <w:r>
        <w:rPr>
          <w:rFonts w:ascii="Tahoma" w:cs="Tahoma" w:eastAsia="Tahoma" w:hAnsi="Tahoma"/>
          <w:b w:val="false"/>
          <w:color w:val="23303F"/>
          <w:sz w:val="21"/>
          <w:szCs w:val="21"/>
          <w:rtl/>
        </w:rPr>
        <w:t xml:space="preserve">در گام بعد، باید برای محورهای پرخطر و نقاط حادثه‌خیز، مسئولیت مشخص، هدف کمی و زمان‌بندی تعیین شود و عملکرد دستگاه‌ها بر اساس کاهش واقعی تلفات ارزیابی شود؛ نه صرفاً تعداد پروژه‌های اجراشده، دوربین‌های نصب‌شده، جریمه‌های صادرشده یا کیلومتر راه احداث‌شده.</w:t>
      </w:r>
    </w:p>
    <w:p>
      <w:pPr>
        <w:bidi/>
        <w:spacing w:after="140" w:before="0" w:line="340" w:lineRule="auto"/>
        <w:jc w:val="both"/>
      </w:pPr>
      <w:r>
        <w:rPr>
          <w:rFonts w:ascii="Tahoma" w:cs="Tahoma" w:eastAsia="Tahoma" w:hAnsi="Tahoma"/>
          <w:b w:val="false"/>
          <w:color w:val="23303F"/>
          <w:sz w:val="21"/>
          <w:szCs w:val="21"/>
          <w:rtl/>
        </w:rPr>
        <w:t xml:space="preserve">در کنار آن، ایجاد یک پایگاه ملی یکپارچه داده‌های تصادفات میان پلیس، پزشکی قانونی، وزارت راه، اورژانس، مراکز درمانی و سایر دستگاه‌های مرتبط می‌تواند امکان تحلیل دقیق‌تر و تصمیم‌گیری مبتنی بر شواهد را فراهم کند.</w:t>
      </w:r>
    </w:p>
    <w:p>
      <w:pPr>
        <w:pBdr>
          <w:left w:val="single" w:color="2F6F5E" w:sz="18" w:space="6"/>
        </w:pBdr>
        <w:bidi/>
        <w:spacing w:after="140" w:before="320" w:line="300" w:lineRule="auto"/>
        <w:jc w:val="right"/>
      </w:pPr>
      <w:r>
        <w:rPr>
          <w:rFonts w:ascii="Tahoma" w:cs="Tahoma" w:eastAsia="Tahoma" w:hAnsi="Tahoma"/>
          <w:b/>
          <w:bCs/>
          <w:color w:val="16202C"/>
          <w:sz w:val="26"/>
          <w:szCs w:val="26"/>
          <w:rtl/>
        </w:rPr>
        <w:t xml:space="preserve">جمع‌بندی</w:t>
      </w:r>
    </w:p>
    <w:p>
      <w:pPr>
        <w:bidi/>
        <w:spacing w:after="140" w:before="0" w:line="340" w:lineRule="auto"/>
        <w:jc w:val="both"/>
      </w:pPr>
      <w:r>
        <w:rPr>
          <w:rFonts w:ascii="Tahoma" w:cs="Tahoma" w:eastAsia="Tahoma" w:hAnsi="Tahoma"/>
          <w:b w:val="false"/>
          <w:color w:val="23303F"/>
          <w:sz w:val="21"/>
          <w:szCs w:val="21"/>
          <w:rtl/>
        </w:rPr>
        <w:t xml:space="preserve">روند ۱۳۸۲ تا ۱۴۰۴ نشان می‌دهد که تلفات رانندگی در ایران قابل کاهش است؛ تجربه سال‌های ۱۳۸۶ تا ۱۳۹۴ این موضوع را به‌خوبی اثبات کرده است. اما همان تجربه نشان می‌دهد که کاهش تلفات بدون استمرار سیاست‌ها، هماهنگی بین دستگاه‌ها، کنترل مستمر و تصمیم‌گیری مبتنی بر داده، پایدار نخواهد ماند.</w:t>
      </w:r>
    </w:p>
    <w:p>
      <w:pPr>
        <w:bidi/>
        <w:spacing w:after="140" w:before="0" w:line="340" w:lineRule="auto"/>
        <w:jc w:val="both"/>
      </w:pPr>
      <w:r>
        <w:rPr>
          <w:rFonts w:ascii="Tahoma" w:cs="Tahoma" w:eastAsia="Tahoma" w:hAnsi="Tahoma"/>
          <w:b w:val="false"/>
          <w:color w:val="23303F"/>
          <w:sz w:val="21"/>
          <w:szCs w:val="21"/>
          <w:rtl/>
        </w:rPr>
        <w:t xml:space="preserve">امروز باید از این سؤال که «چند نفر در تصادفات فوت کرده‌اند؟» یک گام جلوتر برویم و بپرسیم:</w:t>
      </w:r>
    </w:p>
    <w:tbl>
      <w:tblPr>
        <w:bidiVisual/>
        <w:tblW w:type="dxa" w:w="9070"/>
        <w:tblBorders>
          <w:top w:val="single" w:color="BCD3CB" w:sz="4"/>
          <w:left w:val="single" w:color="BCD3CB" w:sz="4"/>
          <w:bottom w:val="single" w:color="BCD3CB" w:sz="4"/>
          <w:right w:val="single" w:color="BCD3CB" w:sz="4"/>
          <w:insideH w:val="none" w:color="FFFFFF" w:sz="0"/>
          <w:insideV w:val="none" w:color="FFFFFF" w:sz="0"/>
        </w:tblBorders>
      </w:tblPr>
      <w:tblGrid>
        <w:gridCol w:w="9070"/>
      </w:tblGrid>
      <w:tr>
        <w:tc>
          <w:tcPr>
            <w:tcW w:type="dxa" w:w="9070"/>
            <w:shd w:fill="F4F8F6" w:color="auto" w:val="clear"/>
            <w:tcMar>
              <w:top w:type="dxa" w:w="140"/>
              <w:left w:type="dxa" w:w="180"/>
              <w:bottom w:type="dxa" w:w="100"/>
              <w:right w:type="dxa" w:w="180"/>
            </w:tcMar>
          </w:tcPr>
          <w:p>
            <w:pPr>
              <w:bidi/>
              <w:spacing w:after="0" w:before="0" w:line="320" w:lineRule="auto"/>
              <w:jc w:val="center"/>
            </w:pPr>
            <w:r>
              <w:rPr>
                <w:rFonts w:ascii="Tahoma" w:cs="Tahoma" w:eastAsia="Tahoma" w:hAnsi="Tahoma"/>
                <w:b/>
                <w:bCs/>
                <w:color w:val="1C4B3F"/>
                <w:sz w:val="23"/>
                <w:szCs w:val="23"/>
                <w:rtl/>
              </w:rPr>
              <w:t xml:space="preserve">«چرا این افراد فوت کرده‌اند و کدام حلقه از زنجیره ایمنی می‌توانست مانع این مرگ شود؟»</w:t>
            </w:r>
          </w:p>
        </w:tc>
      </w:tr>
    </w:tbl>
    <w:p>
      <w:pPr>
        <w:spacing w:after="140"/>
      </w:pPr>
    </w:p>
    <w:p>
      <w:pPr>
        <w:bidi/>
        <w:spacing w:after="140" w:before="0" w:line="340" w:lineRule="auto"/>
        <w:jc w:val="both"/>
      </w:pPr>
      <w:r>
        <w:rPr>
          <w:rFonts w:ascii="Tahoma" w:cs="Tahoma" w:eastAsia="Tahoma" w:hAnsi="Tahoma"/>
          <w:b w:val="false"/>
          <w:color w:val="23303F"/>
          <w:sz w:val="21"/>
          <w:szCs w:val="21"/>
          <w:rtl/>
        </w:rPr>
        <w:t xml:space="preserve">اگر پاسخ این سؤال برای هر حادثه به‌صورت مستند و قابل اندازه‌گیری مشخص شود، مدیریت ایمنی از واکنش پس از حادثه به سمت پیشگیری واقعی از مرگ حرکت خواهد کرد. این همان تغییری است که می‌تواند تجربه موفق گذشته را دوباره به یک روند پایدار کاهش تلفات تبدیل کند.</w:t>
      </w:r>
    </w:p>
    <w:p>
      <w:pPr>
        <w:pBdr>
          <w:top w:val="single" w:color="D9DEE5" w:sz="4" w:space="8"/>
        </w:pBdr>
        <w:bidi/>
        <w:spacing w:before="260" w:line="260" w:lineRule="auto"/>
        <w:jc w:val="center"/>
      </w:pPr>
      <w:r>
        <w:rPr>
          <w:rFonts w:ascii="Tahoma" w:cs="Tahoma" w:eastAsia="Tahoma" w:hAnsi="Tahoma"/>
          <w:b w:val="false"/>
          <w:color w:val="9AA3AE"/>
          <w:sz w:val="16"/>
          <w:szCs w:val="16"/>
          <w:rtl/>
        </w:rPr>
        <w:t xml:space="preserve">■</w:t>
      </w:r>
    </w:p>
    <w:sectPr>
      <w:footerReference w:type="default" r:id="rId7"/>
      <w:pgSz w:w="11906" w:h="16838" w:orient="portrait"/>
      <w:pgMar w:top="1130" w:right="1080" w:bottom="102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Tahoma" w:cs="Tahoma" w:eastAsia="Tahoma" w:hAnsi="Tahoma"/>
        <w:color w:val="9AA3AE"/>
        <w:sz w:val="16"/>
        <w:szCs w:val="16"/>
        <w:rtl/>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color w:val="23303F"/>
        <w:sz w:val="21"/>
        <w:szCs w:val="21"/>
      </w:rPr>
    </w:rPrDefault>
    <w:pPrDefault>
      <w:pPr>
        <w:spacing w:line="34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690e9d6a1f0f99e6012b2801a41ba97f9b072762.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روند تلفات تصادفات رانندگی در ایران؛ از بحران تا بازگشت تلفات</dc:title>
  <dc:creator>فریبرز واحدی</dc:creator>
  <dc:description>بررسی روند ۱۳۸۲ تا ۱۴۰۴</dc:description>
  <cp:lastModifiedBy>Un-named</cp:lastModifiedBy>
  <cp:revision>1</cp:revision>
  <dcterms:created xsi:type="dcterms:W3CDTF">2026-09-20T14:44:47.572Z</dcterms:created>
  <dcterms:modified xsi:type="dcterms:W3CDTF">2026-09-20T14:44:47.572Z</dcterms:modified>
</cp:coreProperties>
</file>

<file path=docProps/custom.xml><?xml version="1.0" encoding="utf-8"?>
<Properties xmlns="http://schemas.openxmlformats.org/officeDocument/2006/custom-properties" xmlns:vt="http://schemas.openxmlformats.org/officeDocument/2006/docPropsVTypes"/>
</file>